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0" w:type="dxa"/>
        <w:tblLayout w:type="fixed"/>
        <w:tblCellMar>
          <w:left w:w="30" w:type="dxa"/>
          <w:right w:w="30" w:type="dxa"/>
        </w:tblCellMar>
        <w:tblLook w:val="0000" w:firstRow="0" w:lastRow="0" w:firstColumn="0" w:lastColumn="0" w:noHBand="0" w:noVBand="0"/>
      </w:tblPr>
      <w:tblGrid>
        <w:gridCol w:w="213"/>
        <w:gridCol w:w="1698"/>
        <w:gridCol w:w="4320"/>
        <w:gridCol w:w="1365"/>
        <w:gridCol w:w="1560"/>
        <w:gridCol w:w="1350"/>
        <w:gridCol w:w="1365"/>
        <w:gridCol w:w="1350"/>
        <w:gridCol w:w="1349"/>
      </w:tblGrid>
      <w:tr w:rsidR="00000000">
        <w:tc>
          <w:tcPr>
            <w:tcW w:w="1911" w:type="dxa"/>
            <w:gridSpan w:val="2"/>
            <w:tcBorders>
              <w:top w:val="single" w:sz="4" w:space="0" w:color="auto"/>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bookmarkStart w:id="0" w:name="_GoBack"/>
            <w:bookmarkEnd w:id="0"/>
          </w:p>
        </w:tc>
        <w:tc>
          <w:tcPr>
            <w:tcW w:w="4320" w:type="dxa"/>
            <w:tcBorders>
              <w:top w:val="single" w:sz="4" w:space="0" w:color="auto"/>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single" w:sz="4" w:space="0" w:color="auto"/>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single" w:sz="4" w:space="0" w:color="auto"/>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single" w:sz="4" w:space="0" w:color="auto"/>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single" w:sz="4" w:space="0" w:color="auto"/>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single" w:sz="4" w:space="0" w:color="auto"/>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single" w:sz="4" w:space="0" w:color="auto"/>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rPr>
          <w:trHeight w:val="226"/>
        </w:trPr>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sz w:val="12"/>
                <w:szCs w:val="24"/>
              </w:rPr>
            </w:pPr>
            <w:r>
              <w:rPr>
                <w:rFonts w:ascii="Arial" w:eastAsia="Times New Roman" w:hAnsi="Arial" w:cs="Times New Roman"/>
                <w:b/>
                <w:sz w:val="12"/>
                <w:szCs w:val="24"/>
              </w:rPr>
              <w:t xml:space="preserve">Fondo pluriennale vincolato per spese correnti </w:t>
            </w:r>
            <w:r>
              <w:rPr>
                <w:rFonts w:ascii="Arial" w:eastAsia="Times New Roman" w:hAnsi="Arial" w:cs="Times New Roman"/>
                <w:b/>
                <w:sz w:val="12"/>
                <w:szCs w:val="24"/>
                <w:vertAlign w:val="superscript"/>
              </w:rPr>
              <w:t>(1)</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previsioni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57.772,86</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rPr>
          <w:trHeight w:val="226"/>
        </w:trPr>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sz w:val="12"/>
                <w:szCs w:val="24"/>
              </w:rPr>
            </w:pPr>
            <w:r>
              <w:rPr>
                <w:rFonts w:ascii="Arial" w:eastAsia="Times New Roman" w:hAnsi="Arial" w:cs="Times New Roman"/>
                <w:b/>
                <w:sz w:val="12"/>
                <w:szCs w:val="24"/>
              </w:rPr>
              <w:t xml:space="preserve">Fondo pluriennale vincolato per spese in conto capitale </w:t>
            </w:r>
            <w:r>
              <w:rPr>
                <w:rFonts w:ascii="Arial" w:eastAsia="Times New Roman" w:hAnsi="Arial" w:cs="Times New Roman"/>
                <w:b/>
                <w:sz w:val="12"/>
                <w:szCs w:val="24"/>
                <w:vertAlign w:val="superscript"/>
              </w:rPr>
              <w:t>(1)</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previsioni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130.291,52</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rPr>
          <w:trHeight w:val="226"/>
        </w:trPr>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sz w:val="12"/>
                <w:szCs w:val="24"/>
              </w:rPr>
            </w:pPr>
            <w:r>
              <w:rPr>
                <w:rFonts w:ascii="Arial" w:eastAsia="Times New Roman" w:hAnsi="Arial" w:cs="Times New Roman"/>
                <w:b/>
                <w:sz w:val="12"/>
                <w:szCs w:val="24"/>
              </w:rPr>
              <w:t xml:space="preserve">Fondo pluriennale vincolato per incremento di attività finanziarie </w:t>
            </w:r>
            <w:r>
              <w:rPr>
                <w:rFonts w:ascii="Arial" w:eastAsia="Times New Roman" w:hAnsi="Arial" w:cs="Times New Roman"/>
                <w:b/>
                <w:sz w:val="12"/>
                <w:szCs w:val="24"/>
                <w:vertAlign w:val="superscript"/>
              </w:rPr>
              <w:t>(1)</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previsioni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rPr>
          <w:trHeight w:val="226"/>
        </w:trPr>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sz w:val="12"/>
                <w:szCs w:val="24"/>
              </w:rPr>
            </w:pPr>
            <w:r>
              <w:rPr>
                <w:rFonts w:ascii="Arial" w:eastAsia="Times New Roman" w:hAnsi="Arial" w:cs="Times New Roman"/>
                <w:b/>
                <w:sz w:val="12"/>
                <w:szCs w:val="24"/>
              </w:rPr>
              <w:t xml:space="preserve">Utilizzo avanzo di Amministrazione </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previsioni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246.977,00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rPr>
          <w:trHeight w:val="226"/>
        </w:trPr>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i/>
                <w:sz w:val="12"/>
                <w:szCs w:val="24"/>
              </w:rPr>
            </w:pPr>
            <w:r>
              <w:rPr>
                <w:rFonts w:ascii="Arial" w:eastAsia="Times New Roman" w:hAnsi="Arial" w:cs="Times New Roman"/>
                <w:i/>
                <w:sz w:val="12"/>
                <w:szCs w:val="24"/>
              </w:rPr>
              <w:t xml:space="preserve">- di cui avanzo utilizzato anticipatamente </w:t>
            </w:r>
            <w:r>
              <w:rPr>
                <w:rFonts w:ascii="Arial" w:eastAsia="Times New Roman" w:hAnsi="Arial" w:cs="Times New Roman"/>
                <w:i/>
                <w:sz w:val="12"/>
                <w:szCs w:val="24"/>
                <w:vertAlign w:val="superscript"/>
              </w:rPr>
              <w:t>(2)</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i/>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i/>
                <w:sz w:val="12"/>
                <w:szCs w:val="24"/>
              </w:rPr>
            </w:pPr>
            <w:r>
              <w:rPr>
                <w:rFonts w:ascii="Arial" w:eastAsia="Times New Roman" w:hAnsi="Arial" w:cs="Times New Roman"/>
                <w:i/>
                <w:sz w:val="12"/>
                <w:szCs w:val="24"/>
              </w:rPr>
              <w:t>previsioni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i/>
                <w:sz w:val="12"/>
                <w:szCs w:val="24"/>
              </w:rPr>
            </w:pPr>
            <w:r>
              <w:rPr>
                <w:rFonts w:ascii="Arial" w:eastAsia="Times New Roman" w:hAnsi="Arial" w:cs="Times New Roman"/>
                <w:i/>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i/>
                <w:sz w:val="12"/>
                <w:szCs w:val="24"/>
              </w:rPr>
            </w:pPr>
            <w:r>
              <w:rPr>
                <w:rFonts w:ascii="Arial" w:eastAsia="Times New Roman" w:hAnsi="Arial" w:cs="Times New Roman"/>
                <w:i/>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i/>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i/>
                <w:sz w:val="12"/>
                <w:szCs w:val="24"/>
              </w:rPr>
            </w:pPr>
          </w:p>
        </w:tc>
      </w:tr>
      <w:tr w:rsidR="00000000">
        <w:trPr>
          <w:trHeight w:val="227"/>
        </w:trPr>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i/>
                <w:sz w:val="12"/>
                <w:szCs w:val="24"/>
              </w:rPr>
            </w:pPr>
            <w:r>
              <w:rPr>
                <w:rFonts w:ascii="Arial" w:eastAsia="Times New Roman" w:hAnsi="Arial" w:cs="Times New Roman"/>
                <w:i/>
                <w:sz w:val="12"/>
                <w:szCs w:val="24"/>
              </w:rPr>
              <w:t>- di cui Utilizzo Fondo anticipazioni di liquidità</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i/>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i/>
                <w:sz w:val="12"/>
                <w:szCs w:val="24"/>
              </w:rPr>
            </w:pPr>
            <w:r>
              <w:rPr>
                <w:rFonts w:ascii="Arial" w:eastAsia="Times New Roman" w:hAnsi="Arial" w:cs="Times New Roman"/>
                <w:i/>
                <w:sz w:val="12"/>
                <w:szCs w:val="24"/>
              </w:rPr>
              <w:t>previsioni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i/>
                <w:sz w:val="12"/>
                <w:szCs w:val="24"/>
              </w:rPr>
            </w:pPr>
            <w:r>
              <w:rPr>
                <w:rFonts w:ascii="Arial" w:eastAsia="Times New Roman" w:hAnsi="Arial" w:cs="Times New Roman"/>
                <w:i/>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i/>
                <w:sz w:val="12"/>
                <w:szCs w:val="24"/>
              </w:rPr>
            </w:pPr>
            <w:r>
              <w:rPr>
                <w:rFonts w:ascii="Arial" w:eastAsia="Times New Roman" w:hAnsi="Arial" w:cs="Times New Roman"/>
                <w:i/>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i/>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i/>
                <w:sz w:val="12"/>
                <w:szCs w:val="24"/>
              </w:rPr>
            </w:pPr>
            <w:r>
              <w:rPr>
                <w:rFonts w:ascii="Arial" w:eastAsia="Times New Roman" w:hAnsi="Arial" w:cs="Times New Roman"/>
                <w:sz w:val="12"/>
                <w:szCs w:val="24"/>
              </w:rPr>
              <w:t>0,00</w:t>
            </w: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sz w:val="12"/>
                <w:szCs w:val="24"/>
              </w:rPr>
            </w:pPr>
            <w:r>
              <w:rPr>
                <w:rFonts w:ascii="Arial" w:eastAsia="Times New Roman" w:hAnsi="Arial" w:cs="Times New Roman"/>
                <w:b/>
                <w:sz w:val="12"/>
                <w:szCs w:val="24"/>
              </w:rPr>
              <w:t>Fondo di Cassa all'1/1/esercizio di riferimento</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previsioni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1.956.896,57</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1.030.724,98</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tcBorders>
              <w:top w:val="nil"/>
              <w:left w:val="single" w:sz="4" w:space="0" w:color="auto"/>
              <w:bottom w:val="single" w:sz="4" w:space="0" w:color="auto"/>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single" w:sz="4" w:space="0" w:color="auto"/>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single" w:sz="4" w:space="0" w:color="auto"/>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single" w:sz="4" w:space="0" w:color="auto"/>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single" w:sz="4" w:space="0" w:color="auto"/>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single" w:sz="4" w:space="0" w:color="auto"/>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single" w:sz="4" w:space="0" w:color="auto"/>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single" w:sz="4" w:space="0" w:color="auto"/>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rPr>
          <w:gridBefore w:val="2"/>
          <w:gridAfter w:val="1"/>
          <w:wBefore w:w="1911" w:type="dxa"/>
          <w:wAfter w:w="1347" w:type="dxa"/>
        </w:trPr>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 xml:space="preserve"> TITOLO 1</w:t>
            </w:r>
          </w:p>
        </w:tc>
        <w:tc>
          <w:tcPr>
            <w:tcW w:w="12659" w:type="dxa"/>
            <w:gridSpan w:val="7"/>
            <w:tcBorders>
              <w:top w:val="single" w:sz="4" w:space="0" w:color="auto"/>
              <w:left w:val="nil"/>
              <w:bottom w:val="single" w:sz="4" w:space="0" w:color="auto"/>
              <w:right w:val="single" w:sz="4" w:space="0" w:color="auto"/>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Entrate correnti di natura tributaria, contributiva e perequativa</w:t>
            </w: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10101</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101: Imposte, tasse e proventi assimilati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1.896.757,65</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3.514.925,00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3.472.000,00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3.472.000,00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3.472.000,00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4.730.552,04</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5.368.757,65</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10102</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102: Tributi destinati al finanziamento della sanità</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10103</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103: Tributi devoluti e regolati alle autonomie speciali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10104</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104: Compartecipazioni di tributi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10301</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301: Fondi perequativi da Amministrazioni Centrali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10302</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302: Fondi perequativi dalla Regione o Provincia autonoma</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432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single" w:sz="4" w:space="0" w:color="000000"/>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single" w:sz="4" w:space="0" w:color="auto"/>
              <w:right w:val="single" w:sz="4" w:space="0" w:color="auto"/>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rPr>
          <w:trHeight w:val="158"/>
        </w:trPr>
        <w:tc>
          <w:tcPr>
            <w:tcW w:w="1911" w:type="dxa"/>
            <w:gridSpan w:val="2"/>
            <w:vMerge w:val="restart"/>
            <w:tcBorders>
              <w:top w:val="single" w:sz="4" w:space="0" w:color="auto"/>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 xml:space="preserve"> 10000 Totale TITOLO 1</w:t>
            </w:r>
          </w:p>
        </w:tc>
        <w:tc>
          <w:tcPr>
            <w:tcW w:w="4320" w:type="dxa"/>
            <w:vMerge w:val="restart"/>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Entrate correnti di natura tributaria, contributiva e perequativa</w:t>
            </w:r>
          </w:p>
        </w:tc>
        <w:tc>
          <w:tcPr>
            <w:tcW w:w="1365" w:type="dxa"/>
            <w:tcBorders>
              <w:top w:val="single" w:sz="4" w:space="0" w:color="000000"/>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1.896.757,65</w:t>
            </w:r>
          </w:p>
        </w:tc>
        <w:tc>
          <w:tcPr>
            <w:tcW w:w="156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3.514.925,00</w:t>
            </w:r>
          </w:p>
        </w:tc>
        <w:tc>
          <w:tcPr>
            <w:tcW w:w="1365"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3.472.000,00</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3.472.000,00</w:t>
            </w:r>
          </w:p>
        </w:tc>
        <w:tc>
          <w:tcPr>
            <w:tcW w:w="1347" w:type="dxa"/>
            <w:tcBorders>
              <w:top w:val="single" w:sz="4" w:space="0" w:color="auto"/>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3.472.000,00</w:t>
            </w:r>
          </w:p>
        </w:tc>
      </w:tr>
      <w:tr w:rsidR="00000000">
        <w:tc>
          <w:tcPr>
            <w:tcW w:w="1911"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4.730.552,04</w:t>
            </w: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5.368.757,65</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 xml:space="preserve"> TITOLO 2</w:t>
            </w:r>
          </w:p>
        </w:tc>
        <w:tc>
          <w:tcPr>
            <w:tcW w:w="12659" w:type="dxa"/>
            <w:gridSpan w:val="7"/>
            <w:tcBorders>
              <w:top w:val="single" w:sz="4" w:space="0" w:color="auto"/>
              <w:left w:val="nil"/>
              <w:bottom w:val="single" w:sz="4" w:space="0" w:color="auto"/>
              <w:right w:val="single" w:sz="4" w:space="0" w:color="auto"/>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Trasferimenti correnti</w:t>
            </w: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20101</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101: Trasferimenti correnti da Amministrazioni pubbliche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868.266,48</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1.091.776,00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912.787,00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904.167,00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903.312,00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1.578.069,50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1.781.053,48</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20102</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102: Trasferimenti correnti da Famiglie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20103</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103: Trasferimenti correnti da Imprese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2.900,00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1.500,00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1.500,00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1.500,00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2.900,00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1.500,00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20104</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104: Trasferimenti correnti da Istituzioni Sociali Private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20105</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105: Trasferimenti correnti dall'Unione Europea e dal Resto del Mondo</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432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single" w:sz="4" w:space="0" w:color="000000"/>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single" w:sz="4" w:space="0" w:color="auto"/>
              <w:right w:val="single" w:sz="4" w:space="0" w:color="auto"/>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rPr>
          <w:trHeight w:val="158"/>
        </w:trPr>
        <w:tc>
          <w:tcPr>
            <w:tcW w:w="1911" w:type="dxa"/>
            <w:gridSpan w:val="2"/>
            <w:vMerge w:val="restart"/>
            <w:tcBorders>
              <w:top w:val="single" w:sz="4" w:space="0" w:color="auto"/>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 xml:space="preserve"> 20000 Totale TITOLO 2</w:t>
            </w:r>
          </w:p>
        </w:tc>
        <w:tc>
          <w:tcPr>
            <w:tcW w:w="4320" w:type="dxa"/>
            <w:vMerge w:val="restart"/>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Trasferimenti correnti</w:t>
            </w:r>
          </w:p>
        </w:tc>
        <w:tc>
          <w:tcPr>
            <w:tcW w:w="1365" w:type="dxa"/>
            <w:tcBorders>
              <w:top w:val="single" w:sz="4" w:space="0" w:color="000000"/>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868.266,48</w:t>
            </w:r>
          </w:p>
        </w:tc>
        <w:tc>
          <w:tcPr>
            <w:tcW w:w="156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1.094.676,00</w:t>
            </w:r>
          </w:p>
        </w:tc>
        <w:tc>
          <w:tcPr>
            <w:tcW w:w="1365"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914.287,00</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905.667,00</w:t>
            </w:r>
          </w:p>
        </w:tc>
        <w:tc>
          <w:tcPr>
            <w:tcW w:w="1347" w:type="dxa"/>
            <w:tcBorders>
              <w:top w:val="single" w:sz="4" w:space="0" w:color="auto"/>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904.812,00</w:t>
            </w:r>
          </w:p>
        </w:tc>
      </w:tr>
      <w:tr w:rsidR="00000000">
        <w:tc>
          <w:tcPr>
            <w:tcW w:w="1911"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1.580.969,50</w:t>
            </w: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1.782.553,48</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 xml:space="preserve"> TITOLO 3</w:t>
            </w:r>
          </w:p>
        </w:tc>
        <w:tc>
          <w:tcPr>
            <w:tcW w:w="12659" w:type="dxa"/>
            <w:gridSpan w:val="7"/>
            <w:tcBorders>
              <w:top w:val="single" w:sz="4" w:space="0" w:color="auto"/>
              <w:left w:val="nil"/>
              <w:bottom w:val="single" w:sz="4" w:space="0" w:color="auto"/>
              <w:right w:val="single" w:sz="4" w:space="0" w:color="auto"/>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Entrate extratributarie</w:t>
            </w: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30100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100: Vendita di beni e servizi e proventi derivanti dalla gestione dei beni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195.150,52</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578.571,00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550.523,00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550.523,00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550.523,00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739.510,67</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745.673,52</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30200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200: Proventi derivanti dall'attività di controllo e repressione delle irregolarità e degli illeciti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200.927,57</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140.000,00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140.000,00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140.000,00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140.000,00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397.447,15</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340.927,57</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30300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300: Interessi attivi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500,00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500,00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500,00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518,44</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30400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400: Altre entrate da redditi da capitale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30500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500: Rimborsi e altre entrate correnti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47.006,86</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86.851,00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66.406,00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66.406,00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66.406,00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95.748,44</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113.412,86</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432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single" w:sz="4" w:space="0" w:color="000000"/>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single" w:sz="4" w:space="0" w:color="auto"/>
              <w:right w:val="single" w:sz="4" w:space="0" w:color="auto"/>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rPr>
          <w:trHeight w:val="158"/>
        </w:trPr>
        <w:tc>
          <w:tcPr>
            <w:tcW w:w="1911" w:type="dxa"/>
            <w:gridSpan w:val="2"/>
            <w:vMerge w:val="restart"/>
            <w:tcBorders>
              <w:top w:val="single" w:sz="4" w:space="0" w:color="auto"/>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 xml:space="preserve"> 30000 Totale TITOLO 3</w:t>
            </w:r>
          </w:p>
        </w:tc>
        <w:tc>
          <w:tcPr>
            <w:tcW w:w="4320" w:type="dxa"/>
            <w:vMerge w:val="restart"/>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Entrate extratributarie</w:t>
            </w:r>
          </w:p>
        </w:tc>
        <w:tc>
          <w:tcPr>
            <w:tcW w:w="1365" w:type="dxa"/>
            <w:tcBorders>
              <w:top w:val="single" w:sz="4" w:space="0" w:color="000000"/>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443.084,95</w:t>
            </w:r>
          </w:p>
        </w:tc>
        <w:tc>
          <w:tcPr>
            <w:tcW w:w="156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805.922,00</w:t>
            </w:r>
          </w:p>
        </w:tc>
        <w:tc>
          <w:tcPr>
            <w:tcW w:w="1365"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757.429,00</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757.429,00</w:t>
            </w:r>
          </w:p>
        </w:tc>
        <w:tc>
          <w:tcPr>
            <w:tcW w:w="1347" w:type="dxa"/>
            <w:tcBorders>
              <w:top w:val="single" w:sz="4" w:space="0" w:color="auto"/>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757.429,00</w:t>
            </w:r>
          </w:p>
        </w:tc>
      </w:tr>
      <w:tr w:rsidR="00000000">
        <w:tc>
          <w:tcPr>
            <w:tcW w:w="1911"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1.233.224,70</w:t>
            </w: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1.200.513,95</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 xml:space="preserve"> TITOLO 4</w:t>
            </w:r>
          </w:p>
        </w:tc>
        <w:tc>
          <w:tcPr>
            <w:tcW w:w="12659" w:type="dxa"/>
            <w:gridSpan w:val="7"/>
            <w:tcBorders>
              <w:top w:val="single" w:sz="4" w:space="0" w:color="auto"/>
              <w:left w:val="nil"/>
              <w:bottom w:val="single" w:sz="4" w:space="0" w:color="auto"/>
              <w:right w:val="single" w:sz="4" w:space="0" w:color="auto"/>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Entrate in conto capitale</w:t>
            </w: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40100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100: Tributi in conto capitale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40200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200: Contributi agli investimenti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1.590.750,44</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2.060.410,85</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525.375,00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4.090.432,70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2.270.020,46</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2.116.125,44</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40300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300: Altri trasferimenti in conto capitale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156.117,74</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1.000.000,00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321.000,00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1.156.117,74</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40400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400: Entrate da alienazione di beni materiali e immateriali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103.000,00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41.000,00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108.500,00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36.900,00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103.000,00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41.000,00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40500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500: Altre entrate in conto capitale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7.449,88</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202.000,00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615.000,00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230.000,00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172.000,00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209.449,88</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622.449,88</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432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single" w:sz="4" w:space="0" w:color="000000"/>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single" w:sz="4" w:space="0" w:color="auto"/>
              <w:right w:val="single" w:sz="4" w:space="0" w:color="auto"/>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rPr>
          <w:trHeight w:val="158"/>
        </w:trPr>
        <w:tc>
          <w:tcPr>
            <w:tcW w:w="1911" w:type="dxa"/>
            <w:gridSpan w:val="2"/>
            <w:vMerge w:val="restart"/>
            <w:tcBorders>
              <w:top w:val="single" w:sz="4" w:space="0" w:color="auto"/>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 xml:space="preserve"> 40000 Totale TITOLO 4</w:t>
            </w:r>
          </w:p>
        </w:tc>
        <w:tc>
          <w:tcPr>
            <w:tcW w:w="4320" w:type="dxa"/>
            <w:vMerge w:val="restart"/>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Entrate in conto capitale</w:t>
            </w:r>
          </w:p>
        </w:tc>
        <w:tc>
          <w:tcPr>
            <w:tcW w:w="1365" w:type="dxa"/>
            <w:tcBorders>
              <w:top w:val="single" w:sz="4" w:space="0" w:color="000000"/>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1.754.318,06</w:t>
            </w:r>
          </w:p>
        </w:tc>
        <w:tc>
          <w:tcPr>
            <w:tcW w:w="156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2.365.410,85</w:t>
            </w:r>
          </w:p>
        </w:tc>
        <w:tc>
          <w:tcPr>
            <w:tcW w:w="1365"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2.181.375,00</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338.500,00</w:t>
            </w:r>
          </w:p>
        </w:tc>
        <w:tc>
          <w:tcPr>
            <w:tcW w:w="1347" w:type="dxa"/>
            <w:tcBorders>
              <w:top w:val="single" w:sz="4" w:space="0" w:color="auto"/>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4.299.332,70</w:t>
            </w:r>
          </w:p>
        </w:tc>
      </w:tr>
      <w:tr w:rsidR="00000000">
        <w:tc>
          <w:tcPr>
            <w:tcW w:w="1911"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2.903.470,34</w:t>
            </w: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3.935.693,06</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 xml:space="preserve"> TITOLO 5</w:t>
            </w:r>
          </w:p>
        </w:tc>
        <w:tc>
          <w:tcPr>
            <w:tcW w:w="12659" w:type="dxa"/>
            <w:gridSpan w:val="7"/>
            <w:tcBorders>
              <w:top w:val="single" w:sz="4" w:space="0" w:color="auto"/>
              <w:left w:val="nil"/>
              <w:bottom w:val="single" w:sz="4" w:space="0" w:color="auto"/>
              <w:right w:val="single" w:sz="4" w:space="0" w:color="auto"/>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Entrate da riduzione di attività finanziarie</w:t>
            </w: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50100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100: Alienazione di attività finanziarie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50200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200: Riscossione crediti di breve termine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50300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300: Riscossione crediti di medio-lungo termine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50400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400: Altre entrate per riduzione di attività finanziarie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432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single" w:sz="4" w:space="0" w:color="000000"/>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single" w:sz="4" w:space="0" w:color="auto"/>
              <w:right w:val="single" w:sz="4" w:space="0" w:color="auto"/>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rPr>
          <w:trHeight w:val="158"/>
        </w:trPr>
        <w:tc>
          <w:tcPr>
            <w:tcW w:w="1911" w:type="dxa"/>
            <w:gridSpan w:val="2"/>
            <w:vMerge w:val="restart"/>
            <w:tcBorders>
              <w:top w:val="single" w:sz="4" w:space="0" w:color="auto"/>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 xml:space="preserve"> 50000 Totale TITOLO 5</w:t>
            </w:r>
          </w:p>
        </w:tc>
        <w:tc>
          <w:tcPr>
            <w:tcW w:w="4320" w:type="dxa"/>
            <w:vMerge w:val="restart"/>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Entrate da riduzione di attività finanziarie</w:t>
            </w:r>
          </w:p>
        </w:tc>
        <w:tc>
          <w:tcPr>
            <w:tcW w:w="1365" w:type="dxa"/>
            <w:tcBorders>
              <w:top w:val="single" w:sz="4" w:space="0" w:color="000000"/>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single" w:sz="4" w:space="0" w:color="auto"/>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 xml:space="preserve"> TITOLO 6</w:t>
            </w:r>
          </w:p>
        </w:tc>
        <w:tc>
          <w:tcPr>
            <w:tcW w:w="12659" w:type="dxa"/>
            <w:gridSpan w:val="7"/>
            <w:tcBorders>
              <w:top w:val="single" w:sz="4" w:space="0" w:color="auto"/>
              <w:left w:val="nil"/>
              <w:bottom w:val="single" w:sz="4" w:space="0" w:color="auto"/>
              <w:right w:val="single" w:sz="4" w:space="0" w:color="auto"/>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Accensione Prestiti</w:t>
            </w: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60100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100: Emissione di titoli obbligazionari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60200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200: Accensione prestiti a breve termine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60300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 xml:space="preserve">Tipologia 300: Accensione mutui e altri finanziamenti a medio lungo </w:t>
            </w:r>
            <w:r>
              <w:rPr>
                <w:rFonts w:ascii="Arial" w:eastAsia="Times New Roman" w:hAnsi="Arial" w:cs="Times New Roman"/>
                <w:b/>
                <w:sz w:val="12"/>
                <w:szCs w:val="24"/>
              </w:rPr>
              <w:lastRenderedPageBreak/>
              <w:t>termine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lastRenderedPageBreak/>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60400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400: Altre forme di indebitamento</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432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single" w:sz="4" w:space="0" w:color="000000"/>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single" w:sz="4" w:space="0" w:color="auto"/>
              <w:right w:val="single" w:sz="4" w:space="0" w:color="auto"/>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rPr>
          <w:trHeight w:val="158"/>
        </w:trPr>
        <w:tc>
          <w:tcPr>
            <w:tcW w:w="1911" w:type="dxa"/>
            <w:gridSpan w:val="2"/>
            <w:vMerge w:val="restart"/>
            <w:tcBorders>
              <w:top w:val="single" w:sz="4" w:space="0" w:color="auto"/>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 xml:space="preserve"> 60000 Totale TITOLO 6</w:t>
            </w:r>
          </w:p>
        </w:tc>
        <w:tc>
          <w:tcPr>
            <w:tcW w:w="4320" w:type="dxa"/>
            <w:vMerge w:val="restart"/>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Accensione Prestiti</w:t>
            </w:r>
          </w:p>
        </w:tc>
        <w:tc>
          <w:tcPr>
            <w:tcW w:w="1365" w:type="dxa"/>
            <w:tcBorders>
              <w:top w:val="single" w:sz="4" w:space="0" w:color="000000"/>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single" w:sz="4" w:space="0" w:color="auto"/>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 xml:space="preserve"> TITOLO 7</w:t>
            </w:r>
          </w:p>
        </w:tc>
        <w:tc>
          <w:tcPr>
            <w:tcW w:w="12659" w:type="dxa"/>
            <w:gridSpan w:val="7"/>
            <w:tcBorders>
              <w:top w:val="single" w:sz="4" w:space="0" w:color="auto"/>
              <w:left w:val="nil"/>
              <w:bottom w:val="single" w:sz="4" w:space="0" w:color="auto"/>
              <w:right w:val="single" w:sz="4" w:space="0" w:color="auto"/>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Anticipazioni da istituto tesoriere/cassiere</w:t>
            </w: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70100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100: Anticipazioni da istituto tesoriere/cassiere</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432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single" w:sz="4" w:space="0" w:color="000000"/>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single" w:sz="4" w:space="0" w:color="auto"/>
              <w:right w:val="single" w:sz="4" w:space="0" w:color="auto"/>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rPr>
          <w:trHeight w:val="158"/>
        </w:trPr>
        <w:tc>
          <w:tcPr>
            <w:tcW w:w="1911" w:type="dxa"/>
            <w:gridSpan w:val="2"/>
            <w:vMerge w:val="restart"/>
            <w:tcBorders>
              <w:top w:val="single" w:sz="4" w:space="0" w:color="auto"/>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 xml:space="preserve"> 70000 Totale TITOLO 7</w:t>
            </w:r>
          </w:p>
        </w:tc>
        <w:tc>
          <w:tcPr>
            <w:tcW w:w="4320" w:type="dxa"/>
            <w:vMerge w:val="restart"/>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Anticipazioni da istituto tesoriere/cassiere</w:t>
            </w:r>
          </w:p>
        </w:tc>
        <w:tc>
          <w:tcPr>
            <w:tcW w:w="1365" w:type="dxa"/>
            <w:tcBorders>
              <w:top w:val="single" w:sz="4" w:space="0" w:color="000000"/>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47" w:type="dxa"/>
            <w:tcBorders>
              <w:top w:val="single" w:sz="4" w:space="0" w:color="auto"/>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r>
      <w:tr w:rsidR="00000000">
        <w:tc>
          <w:tcPr>
            <w:tcW w:w="1911"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 xml:space="preserve"> TITOLO 9</w:t>
            </w:r>
          </w:p>
        </w:tc>
        <w:tc>
          <w:tcPr>
            <w:tcW w:w="12659" w:type="dxa"/>
            <w:gridSpan w:val="7"/>
            <w:tcBorders>
              <w:top w:val="single" w:sz="4" w:space="0" w:color="auto"/>
              <w:left w:val="nil"/>
              <w:bottom w:val="single" w:sz="4" w:space="0" w:color="auto"/>
              <w:right w:val="single" w:sz="4" w:space="0" w:color="auto"/>
            </w:tcBorders>
            <w:tcMar>
              <w:top w:w="0" w:type="dxa"/>
              <w:left w:w="30" w:type="dxa"/>
              <w:bottom w:w="0" w:type="dxa"/>
              <w:right w:w="30" w:type="dxa"/>
            </w:tcMar>
          </w:tcPr>
          <w:p w:rsidR="00000000" w:rsidRDefault="00115886">
            <w:pPr>
              <w:spacing w:after="0" w:line="240" w:lineRule="auto"/>
              <w:rPr>
                <w:rFonts w:ascii="Arial" w:eastAsia="Times New Roman" w:hAnsi="Arial" w:cs="Times New Roman"/>
                <w:b/>
                <w:i/>
                <w:sz w:val="12"/>
                <w:szCs w:val="24"/>
              </w:rPr>
            </w:pPr>
            <w:r>
              <w:rPr>
                <w:rFonts w:ascii="Arial" w:eastAsia="Times New Roman" w:hAnsi="Arial" w:cs="Times New Roman"/>
                <w:b/>
                <w:i/>
                <w:sz w:val="12"/>
                <w:szCs w:val="24"/>
              </w:rPr>
              <w:t>Entrate per conto terzi e partite di giro</w:t>
            </w: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90100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100: Entrate per partite di giro</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832.500,00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982.500,00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982.500,00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982.500,00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834.511,91</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982.500,00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p>
        </w:tc>
        <w:tc>
          <w:tcPr>
            <w:tcW w:w="4320"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c>
          <w:tcPr>
            <w:tcW w:w="1911" w:type="dxa"/>
            <w:gridSpan w:val="2"/>
            <w:vMerge w:val="restart"/>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b/>
                <w:sz w:val="12"/>
                <w:szCs w:val="24"/>
              </w:rPr>
              <w:t>90200</w:t>
            </w:r>
          </w:p>
        </w:tc>
        <w:tc>
          <w:tcPr>
            <w:tcW w:w="4320" w:type="dxa"/>
            <w:vMerge w:val="restart"/>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Tipologia 200: Entrate per conto terzi</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4.970,00</w:t>
            </w: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62.000,00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62.000,00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62.000,00</w:t>
            </w: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62.000,00</w:t>
            </w:r>
          </w:p>
        </w:tc>
      </w:tr>
      <w:tr w:rsidR="00000000">
        <w:tc>
          <w:tcPr>
            <w:tcW w:w="1911" w:type="dxa"/>
            <w:gridSpan w:val="2"/>
            <w:vMerge/>
            <w:tcBorders>
              <w:top w:val="nil"/>
              <w:left w:val="single" w:sz="4" w:space="0" w:color="auto"/>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66.970,00</w:t>
            </w:r>
          </w:p>
        </w:tc>
        <w:tc>
          <w:tcPr>
            <w:tcW w:w="1365"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66.970,00</w:t>
            </w:r>
          </w:p>
        </w:tc>
        <w:tc>
          <w:tcPr>
            <w:tcW w:w="1350" w:type="dxa"/>
            <w:tcBorders>
              <w:top w:val="nil"/>
              <w:left w:val="nil"/>
              <w:bottom w:val="nil"/>
              <w:right w:val="nil"/>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1911" w:type="dxa"/>
            <w:gridSpan w:val="2"/>
            <w:tcBorders>
              <w:top w:val="nil"/>
              <w:left w:val="single" w:sz="4" w:space="0" w:color="auto"/>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432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p>
        </w:tc>
        <w:tc>
          <w:tcPr>
            <w:tcW w:w="1365" w:type="dxa"/>
            <w:tcBorders>
              <w:top w:val="nil"/>
              <w:left w:val="nil"/>
              <w:bottom w:val="single" w:sz="4" w:space="0" w:color="000000"/>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56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65"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50" w:type="dxa"/>
            <w:tcBorders>
              <w:top w:val="nil"/>
              <w:left w:val="nil"/>
              <w:bottom w:val="single" w:sz="4" w:space="0" w:color="auto"/>
              <w:right w:val="nil"/>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c>
          <w:tcPr>
            <w:tcW w:w="1347" w:type="dxa"/>
            <w:tcBorders>
              <w:top w:val="nil"/>
              <w:left w:val="nil"/>
              <w:bottom w:val="single" w:sz="4" w:space="0" w:color="auto"/>
              <w:right w:val="single" w:sz="4" w:space="0" w:color="auto"/>
            </w:tcBorders>
            <w:shd w:val="clear" w:color="auto" w:fill="FFFFF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p>
        </w:tc>
      </w:tr>
      <w:tr w:rsidR="00000000">
        <w:trPr>
          <w:trHeight w:val="158"/>
        </w:trPr>
        <w:tc>
          <w:tcPr>
            <w:tcW w:w="1911" w:type="dxa"/>
            <w:gridSpan w:val="2"/>
            <w:vMerge w:val="restart"/>
            <w:tcBorders>
              <w:top w:val="single" w:sz="4" w:space="0" w:color="auto"/>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 xml:space="preserve"> 90000 Totale TITOLO 9</w:t>
            </w:r>
          </w:p>
        </w:tc>
        <w:tc>
          <w:tcPr>
            <w:tcW w:w="4320" w:type="dxa"/>
            <w:vMerge w:val="restart"/>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sz w:val="12"/>
                <w:szCs w:val="24"/>
              </w:rPr>
            </w:pPr>
            <w:r>
              <w:rPr>
                <w:rFonts w:ascii="Arial" w:eastAsia="Times New Roman" w:hAnsi="Arial" w:cs="Times New Roman"/>
                <w:b/>
                <w:sz w:val="12"/>
                <w:szCs w:val="24"/>
              </w:rPr>
              <w:t>Entrate per conto terzi e partite di giro</w:t>
            </w:r>
          </w:p>
        </w:tc>
        <w:tc>
          <w:tcPr>
            <w:tcW w:w="1365" w:type="dxa"/>
            <w:tcBorders>
              <w:top w:val="single" w:sz="4" w:space="0" w:color="000000"/>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4.970,00</w:t>
            </w:r>
          </w:p>
        </w:tc>
        <w:tc>
          <w:tcPr>
            <w:tcW w:w="156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competenza</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894.500,00</w:t>
            </w:r>
          </w:p>
        </w:tc>
        <w:tc>
          <w:tcPr>
            <w:tcW w:w="1365"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1.044.500,00</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1.044.500,00</w:t>
            </w:r>
          </w:p>
        </w:tc>
        <w:tc>
          <w:tcPr>
            <w:tcW w:w="1347" w:type="dxa"/>
            <w:tcBorders>
              <w:top w:val="single" w:sz="4" w:space="0" w:color="auto"/>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1.044.500,00</w:t>
            </w:r>
          </w:p>
        </w:tc>
      </w:tr>
      <w:tr w:rsidR="00000000">
        <w:tc>
          <w:tcPr>
            <w:tcW w:w="1911" w:type="dxa"/>
            <w:gridSpan w:val="2"/>
            <w:vMerge/>
            <w:tcBorders>
              <w:top w:val="nil"/>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4320" w:type="dxa"/>
            <w:vMerge/>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56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r>
              <w:rPr>
                <w:rFonts w:ascii="Arial" w:eastAsia="Times New Roman" w:hAnsi="Arial" w:cs="Times New Roman"/>
                <w:sz w:val="12"/>
                <w:szCs w:val="24"/>
              </w:rPr>
              <w:t>previsione di cassa</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901.481,91</w:t>
            </w:r>
          </w:p>
        </w:tc>
        <w:tc>
          <w:tcPr>
            <w:tcW w:w="1365"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sz w:val="12"/>
                <w:szCs w:val="24"/>
              </w:rPr>
            </w:pPr>
            <w:r>
              <w:rPr>
                <w:rFonts w:ascii="Arial" w:eastAsia="Times New Roman" w:hAnsi="Arial" w:cs="Times New Roman"/>
                <w:sz w:val="12"/>
                <w:szCs w:val="24"/>
              </w:rPr>
              <w:t>1.049.470,00</w:t>
            </w:r>
          </w:p>
        </w:tc>
        <w:tc>
          <w:tcPr>
            <w:tcW w:w="1350" w:type="dxa"/>
            <w:tcBorders>
              <w:top w:val="nil"/>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c>
          <w:tcPr>
            <w:tcW w:w="1347" w:type="dxa"/>
            <w:tcBorders>
              <w:top w:val="nil"/>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sz w:val="12"/>
                <w:szCs w:val="24"/>
              </w:rPr>
            </w:pPr>
          </w:p>
        </w:tc>
      </w:tr>
      <w:tr w:rsidR="00000000">
        <w:tc>
          <w:tcPr>
            <w:tcW w:w="213" w:type="dxa"/>
            <w:vMerge w:val="restart"/>
            <w:tcBorders>
              <w:top w:val="single" w:sz="4" w:space="0" w:color="auto"/>
              <w:left w:val="single" w:sz="4" w:space="0" w:color="auto"/>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c>
          <w:tcPr>
            <w:tcW w:w="6018" w:type="dxa"/>
            <w:gridSpan w:val="2"/>
            <w:vMerge w:val="restart"/>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rPr>
                <w:rFonts w:ascii="Arial" w:eastAsia="Times New Roman" w:hAnsi="Arial" w:cs="Times New Roman"/>
                <w:color w:val="000000"/>
                <w:sz w:val="12"/>
                <w:szCs w:val="24"/>
              </w:rPr>
            </w:pPr>
            <w:r>
              <w:rPr>
                <w:rFonts w:ascii="Arial" w:eastAsia="Times New Roman" w:hAnsi="Arial" w:cs="Times New Roman"/>
                <w:b/>
                <w:i/>
                <w:color w:val="000000"/>
                <w:sz w:val="20"/>
                <w:szCs w:val="24"/>
              </w:rPr>
              <w:t>TOTALE TITOLI</w:t>
            </w:r>
          </w:p>
        </w:tc>
        <w:tc>
          <w:tcPr>
            <w:tcW w:w="1365"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4.967.397,14</w:t>
            </w:r>
          </w:p>
        </w:tc>
        <w:tc>
          <w:tcPr>
            <w:tcW w:w="156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r>
              <w:rPr>
                <w:rFonts w:ascii="Arial" w:eastAsia="Times New Roman" w:hAnsi="Arial" w:cs="Times New Roman"/>
                <w:color w:val="000000"/>
                <w:sz w:val="12"/>
                <w:szCs w:val="24"/>
              </w:rPr>
              <w:t>previsione di competenza</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8.675.433,85</w:t>
            </w:r>
          </w:p>
        </w:tc>
        <w:tc>
          <w:tcPr>
            <w:tcW w:w="1365"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8.369.591,00</w:t>
            </w:r>
          </w:p>
        </w:tc>
        <w:tc>
          <w:tcPr>
            <w:tcW w:w="1350" w:type="dxa"/>
            <w:tcBorders>
              <w:top w:val="single" w:sz="4" w:space="0" w:color="auto"/>
              <w:left w:val="nil"/>
              <w:bottom w:val="nil"/>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6.518.096,00</w:t>
            </w:r>
          </w:p>
        </w:tc>
        <w:tc>
          <w:tcPr>
            <w:tcW w:w="1347" w:type="dxa"/>
            <w:tcBorders>
              <w:top w:val="single" w:sz="4" w:space="0" w:color="auto"/>
              <w:left w:val="nil"/>
              <w:bottom w:val="nil"/>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10.478.073,70</w:t>
            </w:r>
          </w:p>
        </w:tc>
      </w:tr>
      <w:tr w:rsidR="00000000">
        <w:tc>
          <w:tcPr>
            <w:tcW w:w="213" w:type="dxa"/>
            <w:vMerge/>
            <w:tcBorders>
              <w:top w:val="nil"/>
              <w:left w:val="single" w:sz="4" w:space="0" w:color="auto"/>
              <w:bottom w:val="single" w:sz="4" w:space="0" w:color="auto"/>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c>
          <w:tcPr>
            <w:tcW w:w="6018" w:type="dxa"/>
            <w:gridSpan w:val="2"/>
            <w:vMerge/>
            <w:tcBorders>
              <w:top w:val="nil"/>
              <w:left w:val="nil"/>
              <w:bottom w:val="single" w:sz="4" w:space="0" w:color="auto"/>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c>
          <w:tcPr>
            <w:tcW w:w="1365" w:type="dxa"/>
            <w:tcBorders>
              <w:top w:val="nil"/>
              <w:left w:val="nil"/>
              <w:bottom w:val="single" w:sz="4" w:space="0" w:color="auto"/>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c>
          <w:tcPr>
            <w:tcW w:w="1560" w:type="dxa"/>
            <w:tcBorders>
              <w:top w:val="nil"/>
              <w:left w:val="nil"/>
              <w:bottom w:val="single" w:sz="4" w:space="0" w:color="auto"/>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r>
              <w:rPr>
                <w:rFonts w:ascii="Arial" w:eastAsia="Times New Roman" w:hAnsi="Arial" w:cs="Times New Roman"/>
                <w:color w:val="000000"/>
                <w:sz w:val="12"/>
                <w:szCs w:val="24"/>
              </w:rPr>
              <w:t>previsione di cassa</w:t>
            </w:r>
          </w:p>
        </w:tc>
        <w:tc>
          <w:tcPr>
            <w:tcW w:w="1350" w:type="dxa"/>
            <w:tcBorders>
              <w:top w:val="nil"/>
              <w:left w:val="nil"/>
              <w:bottom w:val="single" w:sz="4" w:space="0" w:color="auto"/>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sz w:val="12"/>
                <w:szCs w:val="24"/>
              </w:rPr>
              <w:t>11.349.698,49</w:t>
            </w:r>
          </w:p>
        </w:tc>
        <w:tc>
          <w:tcPr>
            <w:tcW w:w="1365" w:type="dxa"/>
            <w:tcBorders>
              <w:top w:val="nil"/>
              <w:left w:val="nil"/>
              <w:bottom w:val="single" w:sz="4" w:space="0" w:color="auto"/>
              <w:right w:val="nil"/>
            </w:tcBorders>
            <w:shd w:val="clear" w:color="auto" w:fill="CFCFCF"/>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13.336.988,14</w:t>
            </w:r>
          </w:p>
        </w:tc>
        <w:tc>
          <w:tcPr>
            <w:tcW w:w="1350" w:type="dxa"/>
            <w:tcBorders>
              <w:top w:val="nil"/>
              <w:left w:val="nil"/>
              <w:bottom w:val="single" w:sz="4" w:space="0" w:color="auto"/>
              <w:right w:val="nil"/>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c>
          <w:tcPr>
            <w:tcW w:w="1347" w:type="dxa"/>
            <w:tcBorders>
              <w:top w:val="nil"/>
              <w:left w:val="nil"/>
              <w:bottom w:val="single" w:sz="4" w:space="0" w:color="auto"/>
              <w:right w:val="single" w:sz="4" w:space="0" w:color="auto"/>
            </w:tcBorders>
            <w:shd w:val="clear" w:color="auto" w:fill="CFCFCF"/>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r>
      <w:tr w:rsidR="00000000">
        <w:tc>
          <w:tcPr>
            <w:tcW w:w="213" w:type="dxa"/>
            <w:vMerge w:val="restart"/>
            <w:tcBorders>
              <w:top w:val="single" w:sz="4" w:space="0" w:color="auto"/>
              <w:left w:val="single" w:sz="4" w:space="0" w:color="auto"/>
              <w:bottom w:val="nil"/>
              <w:right w:val="nil"/>
            </w:tcBorders>
            <w:shd w:val="clear" w:color="auto" w:fill="C0C0C0"/>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c>
          <w:tcPr>
            <w:tcW w:w="6018" w:type="dxa"/>
            <w:gridSpan w:val="2"/>
            <w:vMerge w:val="restart"/>
            <w:tcBorders>
              <w:top w:val="single" w:sz="4" w:space="0" w:color="auto"/>
              <w:left w:val="nil"/>
              <w:bottom w:val="nil"/>
              <w:right w:val="nil"/>
            </w:tcBorders>
            <w:shd w:val="clear" w:color="auto" w:fill="C0C0C0"/>
            <w:tcMar>
              <w:top w:w="0" w:type="dxa"/>
              <w:left w:w="30" w:type="dxa"/>
              <w:bottom w:w="0" w:type="dxa"/>
              <w:right w:w="30" w:type="dxa"/>
            </w:tcMar>
          </w:tcPr>
          <w:p w:rsidR="00000000" w:rsidRDefault="00115886">
            <w:pPr>
              <w:spacing w:after="0" w:line="240" w:lineRule="auto"/>
              <w:rPr>
                <w:rFonts w:ascii="Arial" w:eastAsia="Times New Roman" w:hAnsi="Arial" w:cs="Times New Roman"/>
                <w:color w:val="000000"/>
                <w:sz w:val="12"/>
                <w:szCs w:val="24"/>
              </w:rPr>
            </w:pPr>
            <w:r>
              <w:rPr>
                <w:rFonts w:ascii="Arial" w:eastAsia="Times New Roman" w:hAnsi="Arial" w:cs="Times New Roman"/>
                <w:b/>
                <w:color w:val="000000"/>
                <w:sz w:val="24"/>
                <w:szCs w:val="24"/>
              </w:rPr>
              <w:t>TOTALE GENERALE DELLE ENTRATE</w:t>
            </w:r>
          </w:p>
        </w:tc>
        <w:tc>
          <w:tcPr>
            <w:tcW w:w="1365" w:type="dxa"/>
            <w:tcBorders>
              <w:top w:val="single" w:sz="4" w:space="0" w:color="auto"/>
              <w:left w:val="nil"/>
              <w:bottom w:val="nil"/>
              <w:right w:val="nil"/>
            </w:tcBorders>
            <w:shd w:val="clear" w:color="auto" w:fill="C0C0C0"/>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4.967.397,14</w:t>
            </w:r>
          </w:p>
        </w:tc>
        <w:tc>
          <w:tcPr>
            <w:tcW w:w="1560" w:type="dxa"/>
            <w:tcBorders>
              <w:top w:val="single" w:sz="4" w:space="0" w:color="auto"/>
              <w:left w:val="nil"/>
              <w:bottom w:val="nil"/>
              <w:right w:val="nil"/>
            </w:tcBorders>
            <w:shd w:val="clear" w:color="auto" w:fill="C0C0C0"/>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r>
              <w:rPr>
                <w:rFonts w:ascii="Arial" w:eastAsia="Times New Roman" w:hAnsi="Arial" w:cs="Times New Roman"/>
                <w:color w:val="000000"/>
                <w:sz w:val="12"/>
                <w:szCs w:val="24"/>
              </w:rPr>
              <w:t>previsione di competenza</w:t>
            </w:r>
          </w:p>
        </w:tc>
        <w:tc>
          <w:tcPr>
            <w:tcW w:w="1350" w:type="dxa"/>
            <w:tcBorders>
              <w:top w:val="single" w:sz="4" w:space="0" w:color="auto"/>
              <w:left w:val="nil"/>
              <w:bottom w:val="nil"/>
              <w:right w:val="nil"/>
            </w:tcBorders>
            <w:shd w:val="clear" w:color="auto" w:fill="C0C0C0"/>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9.110.475,23</w:t>
            </w:r>
          </w:p>
        </w:tc>
        <w:tc>
          <w:tcPr>
            <w:tcW w:w="1365" w:type="dxa"/>
            <w:tcBorders>
              <w:top w:val="single" w:sz="4" w:space="0" w:color="auto"/>
              <w:left w:val="nil"/>
              <w:bottom w:val="nil"/>
              <w:right w:val="nil"/>
            </w:tcBorders>
            <w:shd w:val="clear" w:color="auto" w:fill="C0C0C0"/>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8.369.591,00</w:t>
            </w:r>
          </w:p>
        </w:tc>
        <w:tc>
          <w:tcPr>
            <w:tcW w:w="1350" w:type="dxa"/>
            <w:tcBorders>
              <w:top w:val="single" w:sz="4" w:space="0" w:color="auto"/>
              <w:left w:val="nil"/>
              <w:bottom w:val="nil"/>
              <w:right w:val="nil"/>
            </w:tcBorders>
            <w:shd w:val="clear" w:color="auto" w:fill="C0C0C0"/>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6.518.096,00</w:t>
            </w:r>
          </w:p>
        </w:tc>
        <w:tc>
          <w:tcPr>
            <w:tcW w:w="1347" w:type="dxa"/>
            <w:tcBorders>
              <w:top w:val="single" w:sz="4" w:space="0" w:color="auto"/>
              <w:left w:val="nil"/>
              <w:bottom w:val="nil"/>
              <w:right w:val="single" w:sz="4" w:space="0" w:color="auto"/>
            </w:tcBorders>
            <w:shd w:val="clear" w:color="auto" w:fill="C0C0C0"/>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10.478.073,70</w:t>
            </w:r>
          </w:p>
        </w:tc>
      </w:tr>
      <w:tr w:rsidR="00000000">
        <w:tc>
          <w:tcPr>
            <w:tcW w:w="213" w:type="dxa"/>
            <w:vMerge/>
            <w:tcBorders>
              <w:top w:val="nil"/>
              <w:left w:val="single" w:sz="4" w:space="0" w:color="auto"/>
              <w:bottom w:val="single" w:sz="4" w:space="0" w:color="auto"/>
              <w:right w:val="nil"/>
            </w:tcBorders>
            <w:shd w:val="clear" w:color="auto" w:fill="C0C0C0"/>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c>
          <w:tcPr>
            <w:tcW w:w="6018" w:type="dxa"/>
            <w:gridSpan w:val="2"/>
            <w:vMerge/>
            <w:tcBorders>
              <w:top w:val="nil"/>
              <w:left w:val="nil"/>
              <w:bottom w:val="single" w:sz="4" w:space="0" w:color="auto"/>
              <w:right w:val="nil"/>
            </w:tcBorders>
            <w:shd w:val="clear" w:color="auto" w:fill="C0C0C0"/>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c>
          <w:tcPr>
            <w:tcW w:w="1365" w:type="dxa"/>
            <w:tcBorders>
              <w:top w:val="nil"/>
              <w:left w:val="nil"/>
              <w:bottom w:val="single" w:sz="4" w:space="0" w:color="auto"/>
              <w:right w:val="nil"/>
            </w:tcBorders>
            <w:shd w:val="clear" w:color="auto" w:fill="C0C0C0"/>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c>
          <w:tcPr>
            <w:tcW w:w="1560" w:type="dxa"/>
            <w:tcBorders>
              <w:top w:val="nil"/>
              <w:left w:val="nil"/>
              <w:bottom w:val="single" w:sz="4" w:space="0" w:color="auto"/>
              <w:right w:val="nil"/>
            </w:tcBorders>
            <w:shd w:val="clear" w:color="auto" w:fill="C0C0C0"/>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r>
              <w:rPr>
                <w:rFonts w:ascii="Arial" w:eastAsia="Times New Roman" w:hAnsi="Arial" w:cs="Times New Roman"/>
                <w:color w:val="000000"/>
                <w:sz w:val="12"/>
                <w:szCs w:val="24"/>
              </w:rPr>
              <w:t>previsione di cassa</w:t>
            </w:r>
          </w:p>
        </w:tc>
        <w:tc>
          <w:tcPr>
            <w:tcW w:w="1350" w:type="dxa"/>
            <w:tcBorders>
              <w:top w:val="nil"/>
              <w:left w:val="nil"/>
              <w:bottom w:val="single" w:sz="4" w:space="0" w:color="auto"/>
              <w:right w:val="nil"/>
            </w:tcBorders>
            <w:shd w:val="clear" w:color="auto" w:fill="C0C0C0"/>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sz w:val="12"/>
                <w:szCs w:val="24"/>
              </w:rPr>
              <w:t>13.306.595,06</w:t>
            </w:r>
          </w:p>
        </w:tc>
        <w:tc>
          <w:tcPr>
            <w:tcW w:w="1365" w:type="dxa"/>
            <w:tcBorders>
              <w:top w:val="nil"/>
              <w:left w:val="nil"/>
              <w:bottom w:val="single" w:sz="4" w:space="0" w:color="auto"/>
              <w:right w:val="nil"/>
            </w:tcBorders>
            <w:shd w:val="clear" w:color="auto" w:fill="C0C0C0"/>
            <w:tcMar>
              <w:top w:w="0" w:type="dxa"/>
              <w:left w:w="30" w:type="dxa"/>
              <w:bottom w:w="0" w:type="dxa"/>
              <w:right w:w="30" w:type="dxa"/>
            </w:tcMar>
          </w:tcPr>
          <w:p w:rsidR="00000000" w:rsidRDefault="00115886">
            <w:pPr>
              <w:spacing w:after="0" w:line="240" w:lineRule="auto"/>
              <w:jc w:val="right"/>
              <w:rPr>
                <w:rFonts w:ascii="Arial" w:eastAsia="Times New Roman" w:hAnsi="Arial" w:cs="Times New Roman"/>
                <w:color w:val="000000"/>
                <w:sz w:val="12"/>
                <w:szCs w:val="24"/>
              </w:rPr>
            </w:pPr>
            <w:r>
              <w:rPr>
                <w:rFonts w:ascii="Arial" w:eastAsia="Times New Roman" w:hAnsi="Arial" w:cs="Times New Roman"/>
                <w:color w:val="000000"/>
                <w:sz w:val="12"/>
                <w:szCs w:val="24"/>
              </w:rPr>
              <w:t>14.367.713,12</w:t>
            </w:r>
          </w:p>
        </w:tc>
        <w:tc>
          <w:tcPr>
            <w:tcW w:w="1350" w:type="dxa"/>
            <w:tcBorders>
              <w:top w:val="nil"/>
              <w:left w:val="nil"/>
              <w:bottom w:val="single" w:sz="4" w:space="0" w:color="auto"/>
              <w:right w:val="nil"/>
            </w:tcBorders>
            <w:shd w:val="clear" w:color="auto" w:fill="C0C0C0"/>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c>
          <w:tcPr>
            <w:tcW w:w="1347" w:type="dxa"/>
            <w:tcBorders>
              <w:top w:val="nil"/>
              <w:left w:val="nil"/>
              <w:bottom w:val="single" w:sz="4" w:space="0" w:color="auto"/>
              <w:right w:val="single" w:sz="4" w:space="0" w:color="auto"/>
            </w:tcBorders>
            <w:shd w:val="clear" w:color="auto" w:fill="C0C0C0"/>
            <w:tcMar>
              <w:top w:w="0" w:type="dxa"/>
              <w:left w:w="30" w:type="dxa"/>
              <w:bottom w:w="0" w:type="dxa"/>
              <w:right w:w="30" w:type="dxa"/>
            </w:tcMar>
          </w:tcPr>
          <w:p w:rsidR="00000000" w:rsidRDefault="00115886">
            <w:pPr>
              <w:spacing w:after="0" w:line="240" w:lineRule="auto"/>
              <w:jc w:val="both"/>
              <w:rPr>
                <w:rFonts w:ascii="Arial" w:eastAsia="Times New Roman" w:hAnsi="Arial" w:cs="Times New Roman"/>
                <w:color w:val="000000"/>
                <w:sz w:val="12"/>
                <w:szCs w:val="24"/>
              </w:rPr>
            </w:pPr>
          </w:p>
        </w:tc>
      </w:tr>
    </w:tbl>
    <w:p w:rsidR="00000000" w:rsidRDefault="00115886">
      <w:pPr>
        <w:spacing w:after="0" w:line="240" w:lineRule="auto"/>
        <w:jc w:val="both"/>
        <w:rPr>
          <w:rFonts w:ascii="Arial" w:eastAsia="Times New Roman" w:hAnsi="Arial" w:cs="Times New Roman"/>
          <w:sz w:val="12"/>
          <w:szCs w:val="24"/>
        </w:rPr>
      </w:pPr>
    </w:p>
    <w:tbl>
      <w:tblPr>
        <w:tblW w:w="0" w:type="auto"/>
        <w:tblLayout w:type="fixed"/>
        <w:tblCellMar>
          <w:left w:w="30" w:type="dxa"/>
          <w:right w:w="30" w:type="dxa"/>
        </w:tblCellMar>
        <w:tblLook w:val="0000" w:firstRow="0" w:lastRow="0" w:firstColumn="0" w:lastColumn="0" w:noHBand="0" w:noVBand="0"/>
      </w:tblPr>
      <w:tblGrid>
        <w:gridCol w:w="426"/>
        <w:gridCol w:w="14129"/>
      </w:tblGrid>
      <w:tr w:rsidR="00000000">
        <w:tc>
          <w:tcPr>
            <w:tcW w:w="426"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color w:val="000000"/>
                <w:sz w:val="10"/>
                <w:szCs w:val="24"/>
              </w:rPr>
            </w:pPr>
            <w:r>
              <w:rPr>
                <w:rFonts w:ascii="Arial" w:eastAsia="Times New Roman" w:hAnsi="Arial" w:cs="Times New Roman"/>
                <w:color w:val="000000"/>
                <w:sz w:val="10"/>
                <w:szCs w:val="24"/>
              </w:rPr>
              <w:t>(1)</w:t>
            </w:r>
          </w:p>
        </w:tc>
        <w:tc>
          <w:tcPr>
            <w:tcW w:w="14129"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color w:val="000000"/>
                <w:sz w:val="10"/>
                <w:szCs w:val="24"/>
              </w:rPr>
            </w:pPr>
            <w:r>
              <w:rPr>
                <w:rFonts w:ascii="Arial" w:eastAsia="Times New Roman" w:hAnsi="Arial" w:cs="Times New Roman"/>
                <w:color w:val="000000"/>
                <w:sz w:val="10"/>
                <w:szCs w:val="24"/>
              </w:rPr>
              <w:t>Se il bilancio di previsione è</w:t>
            </w:r>
            <w:r>
              <w:rPr>
                <w:rFonts w:ascii="Arial" w:eastAsia="Times New Roman" w:hAnsi="Arial" w:cs="Times New Roman"/>
                <w:color w:val="000000"/>
                <w:sz w:val="10"/>
                <w:szCs w:val="24"/>
              </w:rPr>
              <w:t xml:space="preserve"> predisposto prima del 31 dicembre dell'esercizio precedente, indicare la stima degli impegni al 31 dicembre dell'anno in corso di gestione imputati agli esercizi successivi finanziati dal fondo pluriennale vincolato (sia assunti nell'esercizio in corso ch</w:t>
            </w:r>
            <w:r>
              <w:rPr>
                <w:rFonts w:ascii="Arial" w:eastAsia="Times New Roman" w:hAnsi="Arial" w:cs="Times New Roman"/>
                <w:color w:val="000000"/>
                <w:sz w:val="10"/>
                <w:szCs w:val="24"/>
              </w:rPr>
              <w:t>e negli esercizi precedenti) o, se tale stima non risulti possibile, l'importo delle previsioni definitive di spesa del fondo pluriennale vincolato del bilancio dell'esercizio in corso di gestione . Se il bilancio di previsione è approvato dopo il 31 dicem</w:t>
            </w:r>
            <w:r>
              <w:rPr>
                <w:rFonts w:ascii="Arial" w:eastAsia="Times New Roman" w:hAnsi="Arial" w:cs="Times New Roman"/>
                <w:color w:val="000000"/>
                <w:sz w:val="10"/>
                <w:szCs w:val="24"/>
              </w:rPr>
              <w:t>bre, indicare l'importo degli impegni assunti negli precedenti con imputazione agli esercizi successivi determinato sulla base di dati di preconsuntivo.</w:t>
            </w:r>
          </w:p>
        </w:tc>
      </w:tr>
      <w:tr w:rsidR="00000000">
        <w:tc>
          <w:tcPr>
            <w:tcW w:w="426"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i/>
                <w:color w:val="000000"/>
                <w:sz w:val="10"/>
                <w:szCs w:val="24"/>
              </w:rPr>
            </w:pPr>
            <w:r>
              <w:rPr>
                <w:rFonts w:ascii="Arial" w:eastAsia="Times New Roman" w:hAnsi="Arial" w:cs="Times New Roman"/>
                <w:color w:val="000000"/>
                <w:sz w:val="10"/>
                <w:szCs w:val="24"/>
              </w:rPr>
              <w:t>(2)</w:t>
            </w:r>
          </w:p>
        </w:tc>
        <w:tc>
          <w:tcPr>
            <w:tcW w:w="14129" w:type="dxa"/>
            <w:tcBorders>
              <w:top w:val="nil"/>
              <w:left w:val="nil"/>
              <w:bottom w:val="nil"/>
              <w:right w:val="nil"/>
            </w:tcBorders>
            <w:tcMar>
              <w:top w:w="0" w:type="dxa"/>
              <w:left w:w="30" w:type="dxa"/>
              <w:bottom w:w="0" w:type="dxa"/>
              <w:right w:w="30" w:type="dxa"/>
            </w:tcMar>
          </w:tcPr>
          <w:p w:rsidR="00000000" w:rsidRDefault="00115886">
            <w:pPr>
              <w:spacing w:after="0" w:line="240" w:lineRule="auto"/>
              <w:rPr>
                <w:rFonts w:ascii="Arial" w:eastAsia="Times New Roman" w:hAnsi="Arial" w:cs="Times New Roman"/>
                <w:color w:val="000000"/>
                <w:sz w:val="10"/>
                <w:szCs w:val="24"/>
              </w:rPr>
            </w:pPr>
            <w:r>
              <w:rPr>
                <w:rFonts w:ascii="Arial" w:eastAsia="Times New Roman" w:hAnsi="Arial" w:cs="Times New Roman"/>
                <w:color w:val="000000"/>
                <w:sz w:val="10"/>
                <w:szCs w:val="24"/>
              </w:rPr>
              <w:t>Indicare l'importo dell'utilizzo della parte vincolata del risultato di amministrazione determinat</w:t>
            </w:r>
            <w:r>
              <w:rPr>
                <w:rFonts w:ascii="Arial" w:eastAsia="Times New Roman" w:hAnsi="Arial" w:cs="Times New Roman"/>
                <w:color w:val="000000"/>
                <w:sz w:val="10"/>
                <w:szCs w:val="24"/>
              </w:rPr>
              <w:t>o nell'Allegato a) Risultato presunto di amministrazione (All a) Ris amm Pres). A seguito dell'approvazione del rendiconto è possibile utilizzare la quota libera del risultato di amministrazione. In attuazione di quanto previsto dall'art. 187, comma 3, del</w:t>
            </w:r>
            <w:r>
              <w:rPr>
                <w:rFonts w:ascii="Arial" w:eastAsia="Times New Roman" w:hAnsi="Arial" w:cs="Times New Roman"/>
                <w:color w:val="000000"/>
                <w:sz w:val="10"/>
                <w:szCs w:val="24"/>
              </w:rPr>
              <w:t xml:space="preserve"> TUEL e dell'art. 42, comma 8, del DLgs 118/2011, 8. le quote del risultato di amministrazione presunto dell</w:t>
            </w:r>
            <w:r>
              <w:rPr>
                <w:rFonts w:ascii="Arial" w:eastAsia="Times New Roman" w:hAnsi="Arial" w:cs="Times New Roman"/>
                <w:color w:val="000000"/>
                <w:sz w:val="10"/>
                <w:szCs w:val="24"/>
              </w:rPr>
              <w:t>’</w:t>
            </w:r>
            <w:r>
              <w:rPr>
                <w:rFonts w:ascii="Arial" w:eastAsia="Times New Roman" w:hAnsi="Arial" w:cs="Times New Roman"/>
                <w:color w:val="000000"/>
                <w:sz w:val="10"/>
                <w:szCs w:val="24"/>
              </w:rPr>
              <w:t>esercizio precedente costituite da accantonamenti risultanti dall</w:t>
            </w:r>
            <w:r>
              <w:rPr>
                <w:rFonts w:ascii="Arial" w:eastAsia="Times New Roman" w:hAnsi="Arial" w:cs="Times New Roman"/>
                <w:color w:val="000000"/>
                <w:sz w:val="10"/>
                <w:szCs w:val="24"/>
              </w:rPr>
              <w:t>’</w:t>
            </w:r>
            <w:r>
              <w:rPr>
                <w:rFonts w:ascii="Arial" w:eastAsia="Times New Roman" w:hAnsi="Arial" w:cs="Times New Roman"/>
                <w:color w:val="000000"/>
                <w:sz w:val="10"/>
                <w:szCs w:val="24"/>
              </w:rPr>
              <w:t>ultimo consuntivo approvato o derivanti da fondi vincolati possono essere applica</w:t>
            </w:r>
            <w:r>
              <w:rPr>
                <w:rFonts w:ascii="Arial" w:eastAsia="Times New Roman" w:hAnsi="Arial" w:cs="Times New Roman"/>
                <w:color w:val="000000"/>
                <w:sz w:val="10"/>
                <w:szCs w:val="24"/>
              </w:rPr>
              <w:t>te al primo esercizio del bilancio di previsione per il finanziamento delle finalità cui sono destinate.</w:t>
            </w:r>
          </w:p>
        </w:tc>
      </w:tr>
    </w:tbl>
    <w:p w:rsidR="00115886" w:rsidRDefault="00115886">
      <w:pPr>
        <w:spacing w:after="0" w:line="240" w:lineRule="auto"/>
        <w:jc w:val="both"/>
        <w:rPr>
          <w:rFonts w:ascii="Arial" w:eastAsia="Times New Roman" w:hAnsi="Arial" w:cs="Times New Roman"/>
          <w:sz w:val="10"/>
          <w:szCs w:val="24"/>
        </w:rPr>
      </w:pPr>
    </w:p>
    <w:sectPr w:rsidR="00115886">
      <w:headerReference w:type="default" r:id="rId6"/>
      <w:footerReference w:type="default" r:id="rId7"/>
      <w:pgSz w:w="16833" w:h="11908" w:orient="landscape"/>
      <w:pgMar w:top="1133" w:right="1133" w:bottom="850" w:left="1133" w:header="283" w:footer="283"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886" w:rsidRDefault="00115886">
      <w:pPr>
        <w:spacing w:after="0" w:line="240" w:lineRule="auto"/>
      </w:pPr>
      <w:r>
        <w:separator/>
      </w:r>
    </w:p>
  </w:endnote>
  <w:endnote w:type="continuationSeparator" w:id="0">
    <w:p w:rsidR="00115886" w:rsidRDefault="00115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15886">
    <w:pPr>
      <w:pStyle w:val="Pidipagina"/>
      <w:jc w:val="center"/>
      <w:rPr>
        <w:rFonts w:ascii="Arial" w:eastAsia="Times New Roman" w:hAnsi="Arial" w:cs="Times New Roman"/>
        <w:sz w:val="12"/>
        <w:szCs w:val="24"/>
      </w:rPr>
    </w:pPr>
    <w:r>
      <w:rPr>
        <w:rFonts w:ascii="Arial" w:eastAsia="Times New Roman" w:hAnsi="Arial" w:cs="Times New Roman"/>
        <w:sz w:val="12"/>
        <w:szCs w:val="24"/>
      </w:rPr>
      <w:t xml:space="preserve">Pag. </w:t>
    </w:r>
    <w:r>
      <w:rPr>
        <w:rFonts w:ascii="Arial" w:eastAsia="Times New Roman" w:hAnsi="Arial" w:cs="Times New Roman"/>
        <w:sz w:val="12"/>
        <w:szCs w:val="24"/>
      </w:rPr>
      <w:fldChar w:fldCharType="begin"/>
    </w:r>
    <w:r>
      <w:rPr>
        <w:rFonts w:ascii="Arial" w:eastAsia="Times New Roman" w:hAnsi="Arial" w:cs="Times New Roman"/>
        <w:sz w:val="12"/>
        <w:szCs w:val="24"/>
      </w:rPr>
      <w:instrText>PAGE</w:instrText>
    </w:r>
    <w:r>
      <w:rPr>
        <w:rFonts w:ascii="Arial" w:eastAsia="Times New Roman" w:hAnsi="Arial" w:cs="Times New Roman"/>
        <w:sz w:val="12"/>
        <w:szCs w:val="24"/>
      </w:rPr>
      <w:fldChar w:fldCharType="separate"/>
    </w:r>
    <w:r>
      <w:rPr>
        <w:rFonts w:ascii="Arial" w:eastAsia="Times New Roman" w:hAnsi="Arial" w:cs="Times New Roman"/>
        <w:sz w:val="12"/>
        <w:szCs w:val="24"/>
      </w:rPr>
      <w:t>1</w:t>
    </w:r>
    <w:r>
      <w:rPr>
        <w:rFonts w:ascii="Arial" w:eastAsia="Times New Roman" w:hAnsi="Arial" w:cs="Times New Roman"/>
        <w:sz w:val="1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886" w:rsidRDefault="00115886">
      <w:pPr>
        <w:spacing w:after="0" w:line="240" w:lineRule="auto"/>
      </w:pPr>
      <w:r>
        <w:separator/>
      </w:r>
    </w:p>
  </w:footnote>
  <w:footnote w:type="continuationSeparator" w:id="0">
    <w:p w:rsidR="00115886" w:rsidRDefault="00115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15886">
    <w:pPr>
      <w:spacing w:after="0" w:line="240" w:lineRule="auto"/>
      <w:rPr>
        <w:rFonts w:ascii="Arial" w:eastAsia="Times New Roman" w:hAnsi="Arial" w:cs="Arial"/>
        <w:sz w:val="16"/>
        <w:szCs w:val="16"/>
      </w:rPr>
    </w:pPr>
  </w:p>
  <w:p w:rsidR="00000000" w:rsidRDefault="00115886">
    <w:pPr>
      <w:spacing w:after="0" w:line="240" w:lineRule="auto"/>
      <w:jc w:val="center"/>
      <w:rPr>
        <w:rFonts w:ascii="Times New Roman" w:eastAsia="Times New Roman" w:hAnsi="Times New Roman" w:cs="Times New Roman"/>
        <w:sz w:val="28"/>
        <w:szCs w:val="24"/>
      </w:rPr>
    </w:pPr>
    <w:r>
      <w:rPr>
        <w:rFonts w:ascii="Arial" w:eastAsia="Times New Roman" w:hAnsi="Arial" w:cs="Arial"/>
        <w:sz w:val="16"/>
        <w:szCs w:val="16"/>
      </w:rPr>
      <w:t>COMUNE DI VERDELLO (BG)</w:t>
    </w:r>
  </w:p>
  <w:p w:rsidR="00000000" w:rsidRDefault="00115886">
    <w:pPr>
      <w:spacing w:after="0" w:line="240" w:lineRule="auto"/>
      <w:jc w:val="center"/>
      <w:rPr>
        <w:rFonts w:ascii="Arial" w:eastAsia="Times New Roman" w:hAnsi="Arial" w:cs="Times New Roman"/>
        <w:sz w:val="28"/>
        <w:szCs w:val="24"/>
      </w:rPr>
    </w:pPr>
    <w:r>
      <w:rPr>
        <w:rFonts w:ascii="Arial" w:eastAsia="Times New Roman" w:hAnsi="Arial" w:cs="Times New Roman"/>
        <w:sz w:val="28"/>
        <w:szCs w:val="24"/>
      </w:rPr>
      <w:t>BILANCIO DI PREVISIONE</w:t>
    </w:r>
  </w:p>
  <w:p w:rsidR="00000000" w:rsidRDefault="00115886">
    <w:pPr>
      <w:spacing w:after="0" w:line="240" w:lineRule="auto"/>
      <w:jc w:val="center"/>
      <w:rPr>
        <w:rFonts w:ascii="Arial" w:eastAsia="Times New Roman" w:hAnsi="Arial" w:cs="Times New Roman"/>
        <w:sz w:val="28"/>
        <w:szCs w:val="24"/>
      </w:rPr>
    </w:pPr>
    <w:r>
      <w:rPr>
        <w:rFonts w:ascii="Arial" w:eastAsia="Times New Roman" w:hAnsi="Arial" w:cs="Times New Roman"/>
        <w:sz w:val="28"/>
        <w:szCs w:val="24"/>
      </w:rPr>
      <w:t>ENTRATE 2025</w:t>
    </w:r>
  </w:p>
  <w:p w:rsidR="00000000" w:rsidRDefault="00115886">
    <w:pPr>
      <w:spacing w:after="0" w:line="240" w:lineRule="auto"/>
      <w:jc w:val="center"/>
      <w:rPr>
        <w:rFonts w:ascii="Arial" w:eastAsia="Times New Roman" w:hAnsi="Arial" w:cs="Times New Roman"/>
        <w:sz w:val="14"/>
        <w:szCs w:val="24"/>
      </w:rPr>
    </w:pPr>
  </w:p>
  <w:tbl>
    <w:tblPr>
      <w:tblW w:w="0" w:type="auto"/>
      <w:tblInd w:w="28" w:type="dxa"/>
      <w:tblLayout w:type="fixed"/>
      <w:tblCellMar>
        <w:left w:w="30" w:type="dxa"/>
        <w:right w:w="30" w:type="dxa"/>
      </w:tblCellMar>
      <w:tblLook w:val="0000" w:firstRow="0" w:lastRow="0" w:firstColumn="0" w:lastColumn="0" w:noHBand="0" w:noVBand="0"/>
    </w:tblPr>
    <w:tblGrid>
      <w:gridCol w:w="1920"/>
      <w:gridCol w:w="4320"/>
      <w:gridCol w:w="1380"/>
      <w:gridCol w:w="1545"/>
      <w:gridCol w:w="1350"/>
      <w:gridCol w:w="1350"/>
      <w:gridCol w:w="1345"/>
      <w:gridCol w:w="1345"/>
    </w:tblGrid>
    <w:tr w:rsidR="00000000">
      <w:trPr>
        <w:trHeight w:val="283"/>
      </w:trPr>
      <w:tc>
        <w:tcPr>
          <w:tcW w:w="1920" w:type="dxa"/>
          <w:vMerge w:val="restar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sz w:val="12"/>
              <w:szCs w:val="24"/>
            </w:rPr>
            <w:t>TITOLO</w:t>
          </w:r>
        </w:p>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sz w:val="12"/>
              <w:szCs w:val="24"/>
            </w:rPr>
            <w:t>TIPOLOGIA</w:t>
          </w:r>
        </w:p>
        <w:p w:rsidR="00000000" w:rsidRDefault="00115886">
          <w:pPr>
            <w:spacing w:after="0" w:line="240" w:lineRule="auto"/>
            <w:jc w:val="center"/>
            <w:rPr>
              <w:rFonts w:ascii="Arial" w:eastAsia="Times New Roman" w:hAnsi="Arial" w:cs="Times New Roman"/>
              <w:sz w:val="12"/>
              <w:szCs w:val="24"/>
            </w:rPr>
          </w:pPr>
        </w:p>
      </w:tc>
      <w:tc>
        <w:tcPr>
          <w:tcW w:w="4320" w:type="dxa"/>
          <w:vMerge w:val="restar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sz w:val="12"/>
              <w:szCs w:val="24"/>
            </w:rPr>
            <w:t>DENOMINAZIONE</w:t>
          </w:r>
        </w:p>
      </w:tc>
      <w:tc>
        <w:tcPr>
          <w:tcW w:w="1380" w:type="dxa"/>
          <w:vMerge w:val="restar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sz w:val="12"/>
              <w:szCs w:val="24"/>
            </w:rPr>
            <w:t>RESIDUI PRESUNTI AL TERMINE DELL'ESERCIZIO PRECEDENTE QUELLO CUI SI RIFERISCE IL BILANCIO</w:t>
          </w:r>
        </w:p>
      </w:tc>
      <w:tc>
        <w:tcPr>
          <w:tcW w:w="1545" w:type="dxa"/>
          <w:vMerge w:val="restar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350" w:type="dxa"/>
          <w:vMerge w:val="restar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sz w:val="12"/>
              <w:szCs w:val="24"/>
            </w:rPr>
            <w:t>PREVISIONI DEFINITIVE DELL'ANNO PRECEDENTE QUELLO CUI SI RIFERISCE IL BILANCIO</w:t>
          </w:r>
          <w:r>
            <w:rPr>
              <w:rFonts w:ascii="Arial" w:eastAsia="Times New Roman" w:hAnsi="Arial" w:cs="Times New Roman"/>
              <w:sz w:val="12"/>
              <w:szCs w:val="24"/>
              <w:vertAlign w:val="superscript"/>
            </w:rPr>
            <w:t>(3)</w:t>
          </w:r>
        </w:p>
      </w:tc>
      <w:tc>
        <w:tcPr>
          <w:tcW w:w="4040" w:type="dxa"/>
          <w:gridSpan w:val="3"/>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r>
    <w:tr w:rsidR="00000000">
      <w:trPr>
        <w:trHeight w:val="283"/>
      </w:trPr>
      <w:tc>
        <w:tcPr>
          <w:tcW w:w="1920" w:type="dxa"/>
          <w:vMerge/>
          <w:tcBorders>
            <w:top w:val="nil"/>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4320" w:type="dxa"/>
          <w:vMerge/>
          <w:tcBorders>
            <w:top w:val="nil"/>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380" w:type="dxa"/>
          <w:vMerge/>
          <w:tcBorders>
            <w:top w:val="nil"/>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545" w:type="dxa"/>
          <w:vMerge/>
          <w:tcBorders>
            <w:top w:val="nil"/>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350" w:type="dxa"/>
          <w:vMerge/>
          <w:tcBorders>
            <w:top w:val="nil"/>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350" w:type="dxa"/>
          <w:vMerge w:val="restar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sz w:val="12"/>
              <w:szCs w:val="24"/>
            </w:rPr>
            <w:t>PREVISIONI ANNO 2025</w:t>
          </w:r>
        </w:p>
      </w:tc>
      <w:tc>
        <w:tcPr>
          <w:tcW w:w="1345" w:type="dxa"/>
          <w:vMerge w:val="restar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sz w:val="12"/>
              <w:szCs w:val="24"/>
            </w:rPr>
            <w:t>PREVISIONI DELL</w:t>
          </w:r>
          <w:r>
            <w:rPr>
              <w:rFonts w:ascii="Arial" w:eastAsia="Times New Roman" w:hAnsi="Arial" w:cs="Times New Roman"/>
              <w:sz w:val="12"/>
              <w:szCs w:val="24"/>
            </w:rPr>
            <w:t>’</w:t>
          </w:r>
          <w:r>
            <w:rPr>
              <w:rFonts w:ascii="Arial" w:eastAsia="Times New Roman" w:hAnsi="Arial" w:cs="Times New Roman"/>
              <w:sz w:val="12"/>
              <w:szCs w:val="24"/>
            </w:rPr>
            <w:t>ANNO 2026</w:t>
          </w:r>
        </w:p>
      </w:tc>
      <w:tc>
        <w:tcPr>
          <w:tcW w:w="1345" w:type="dxa"/>
          <w:vMerge w:val="restar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r>
            <w:rPr>
              <w:rFonts w:ascii="Arial" w:eastAsia="Times New Roman" w:hAnsi="Arial" w:cs="Times New Roman"/>
              <w:sz w:val="12"/>
              <w:szCs w:val="24"/>
            </w:rPr>
            <w:t>PREVISIONI DELL</w:t>
          </w:r>
          <w:r>
            <w:rPr>
              <w:rFonts w:ascii="Arial" w:eastAsia="Times New Roman" w:hAnsi="Arial" w:cs="Times New Roman"/>
              <w:sz w:val="12"/>
              <w:szCs w:val="24"/>
            </w:rPr>
            <w:t>’</w:t>
          </w:r>
          <w:r>
            <w:rPr>
              <w:rFonts w:ascii="Arial" w:eastAsia="Times New Roman" w:hAnsi="Arial" w:cs="Times New Roman"/>
              <w:sz w:val="12"/>
              <w:szCs w:val="24"/>
            </w:rPr>
            <w:t>ANNO 2027</w:t>
          </w:r>
        </w:p>
      </w:tc>
    </w:tr>
    <w:tr w:rsidR="00000000">
      <w:trPr>
        <w:trHeight w:val="546"/>
      </w:trPr>
      <w:tc>
        <w:tcPr>
          <w:tcW w:w="1920" w:type="dxa"/>
          <w:vMerge/>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4320" w:type="dxa"/>
          <w:vMerge/>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380" w:type="dxa"/>
          <w:vMerge/>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545" w:type="dxa"/>
          <w:vMerge/>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350" w:type="dxa"/>
          <w:vMerge/>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350" w:type="dxa"/>
          <w:vMerge/>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350" w:type="dxa"/>
          <w:vMerge/>
          <w:tcBorders>
            <w:top w:val="single" w:sz="4" w:space="0" w:color="auto"/>
            <w:left w:val="nil"/>
            <w:bottom w:val="single" w:sz="4" w:space="0" w:color="auto"/>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c>
        <w:tcPr>
          <w:tcW w:w="1340" w:type="dxa"/>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000000" w:rsidRDefault="00115886">
          <w:pPr>
            <w:spacing w:after="0" w:line="240" w:lineRule="auto"/>
            <w:jc w:val="center"/>
            <w:rPr>
              <w:rFonts w:ascii="Arial" w:eastAsia="Times New Roman" w:hAnsi="Arial" w:cs="Times New Roman"/>
              <w:sz w:val="12"/>
              <w:szCs w:val="24"/>
            </w:rPr>
          </w:pPr>
        </w:p>
      </w:tc>
    </w:tr>
  </w:tbl>
  <w:p w:rsidR="00000000" w:rsidRDefault="00115886">
    <w:pPr>
      <w:spacing w:after="0" w:line="240" w:lineRule="auto"/>
      <w:rPr>
        <w:rFonts w:ascii="Arial" w:eastAsia="Times New Roman" w:hAnsi="Arial" w:cs="Times New Roman"/>
        <w:sz w:val="1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134"/>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18"/>
    <w:rsid w:val="00115886"/>
    <w:rsid w:val="00D02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C374FC-3632-4777-BEF9-85A21A19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autoSpaceDE w:val="0"/>
      <w:autoSpaceDN w:val="0"/>
      <w:adjustRightInd w:val="0"/>
      <w:spacing w:after="200" w:line="276" w:lineRule="auto"/>
    </w:pPr>
    <w:rPr>
      <w:rFonts w:ascii="Calibri" w:hAnsi="Calibri" w:cs="Calibri"/>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didefault">
    <w:name w:val="Stile di default"/>
    <w:uiPriority w:val="99"/>
  </w:style>
  <w:style w:type="paragraph" w:customStyle="1" w:styleId="Normal">
    <w:name w:val="[Normal]"/>
    <w:next w:val="Normale"/>
    <w:uiPriority w:val="99"/>
    <w:pPr>
      <w:widowControl w:val="0"/>
      <w:autoSpaceDE w:val="0"/>
      <w:autoSpaceDN w:val="0"/>
      <w:adjustRightInd w:val="0"/>
      <w:spacing w:after="0" w:line="240" w:lineRule="auto"/>
    </w:pPr>
    <w:rPr>
      <w:rFonts w:ascii="Arial" w:hAnsi="Arial" w:cs="Arial"/>
      <w:sz w:val="24"/>
      <w:szCs w:val="24"/>
    </w:rPr>
  </w:style>
  <w:style w:type="paragraph" w:styleId="Intestazione">
    <w:name w:val="header"/>
    <w:basedOn w:val="Normale"/>
    <w:next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tyle>
  <w:style w:type="paragraph" w:styleId="Pidipagina">
    <w:name w:val="footer"/>
    <w:basedOn w:val="Normale"/>
    <w:next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1486</Words>
  <Characters>8472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LiciaBattaglia</dc:creator>
  <cp:keywords/>
  <dc:description/>
  <cp:lastModifiedBy>LiciaBattaglia</cp:lastModifiedBy>
  <cp:revision>3</cp:revision>
  <dcterms:created xsi:type="dcterms:W3CDTF">2025-01-09T08:08:00Z</dcterms:created>
  <dcterms:modified xsi:type="dcterms:W3CDTF">2025-01-09T08:08:00Z</dcterms:modified>
</cp:coreProperties>
</file>